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A6478" w14:textId="77777777" w:rsidR="00AF1D32" w:rsidRDefault="00AF1D32" w:rsidP="00AF1D32">
      <w:pPr>
        <w:pStyle w:val="NormalWeb"/>
        <w:spacing w:before="0" w:beforeAutospacing="0" w:after="0" w:afterAutospacing="0"/>
        <w:jc w:val="center"/>
        <w:rPr>
          <w:b/>
          <w:bCs/>
          <w:color w:val="000000"/>
          <w:sz w:val="32"/>
          <w:szCs w:val="32"/>
        </w:rPr>
      </w:pPr>
      <w:r>
        <w:rPr>
          <w:b/>
          <w:bCs/>
          <w:color w:val="000000"/>
        </w:rPr>
        <w:t>ZHONG YANG FINANCIAL GROUP LIMITED</w:t>
      </w:r>
    </w:p>
    <w:p w14:paraId="126D1F19" w14:textId="77777777" w:rsidR="00AF1D32" w:rsidRDefault="00AF1D32" w:rsidP="00AF1D32">
      <w:pPr>
        <w:pStyle w:val="NormalWeb"/>
        <w:spacing w:before="0" w:beforeAutospacing="0" w:after="0" w:afterAutospacing="0"/>
        <w:jc w:val="center"/>
        <w:rPr>
          <w:b/>
          <w:bCs/>
          <w:color w:val="000000"/>
          <w:sz w:val="32"/>
          <w:szCs w:val="32"/>
        </w:rPr>
      </w:pPr>
      <w:r>
        <w:rPr>
          <w:b/>
          <w:bCs/>
          <w:color w:val="000000"/>
          <w:sz w:val="20"/>
          <w:szCs w:val="20"/>
        </w:rPr>
        <w:t> </w:t>
      </w:r>
    </w:p>
    <w:p w14:paraId="7F4EAAD7" w14:textId="77777777" w:rsidR="00AF1D32" w:rsidRDefault="00AF1D32" w:rsidP="00AF1D32">
      <w:pPr>
        <w:pStyle w:val="NormalWeb"/>
        <w:spacing w:before="0" w:beforeAutospacing="0" w:after="0" w:afterAutospacing="0"/>
        <w:jc w:val="center"/>
        <w:rPr>
          <w:b/>
          <w:bCs/>
          <w:color w:val="000000"/>
          <w:sz w:val="32"/>
          <w:szCs w:val="32"/>
        </w:rPr>
      </w:pPr>
      <w:r>
        <w:rPr>
          <w:b/>
          <w:bCs/>
          <w:color w:val="000000"/>
        </w:rPr>
        <w:t>Code of Ethics and Business Conduct</w:t>
      </w:r>
    </w:p>
    <w:p w14:paraId="07FCF31E" w14:textId="77777777" w:rsidR="00AF1D32" w:rsidRDefault="00AF1D32" w:rsidP="00AF1D32">
      <w:pPr>
        <w:pStyle w:val="NormalWeb"/>
        <w:spacing w:before="0" w:beforeAutospacing="0" w:after="0" w:afterAutospacing="0"/>
        <w:jc w:val="center"/>
        <w:rPr>
          <w:b/>
          <w:bCs/>
          <w:color w:val="000000"/>
          <w:sz w:val="32"/>
          <w:szCs w:val="32"/>
        </w:rPr>
      </w:pPr>
      <w:r>
        <w:rPr>
          <w:b/>
          <w:bCs/>
          <w:color w:val="000000"/>
          <w:sz w:val="20"/>
          <w:szCs w:val="20"/>
        </w:rPr>
        <w:t> </w:t>
      </w:r>
    </w:p>
    <w:p w14:paraId="0E0786DD"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1. </w:t>
      </w:r>
      <w:r>
        <w:rPr>
          <w:color w:val="000000"/>
          <w:sz w:val="20"/>
          <w:szCs w:val="20"/>
          <w:u w:val="single"/>
          <w:shd w:val="clear" w:color="auto" w:fill="FFFFFF"/>
        </w:rPr>
        <w:t>Introduction</w:t>
      </w:r>
      <w:r>
        <w:rPr>
          <w:color w:val="000000"/>
          <w:sz w:val="20"/>
          <w:szCs w:val="20"/>
        </w:rPr>
        <w:t>. </w:t>
      </w:r>
    </w:p>
    <w:p w14:paraId="51CD9244"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56712D91"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1.1 The Board of Directors (the “</w:t>
      </w:r>
      <w:r>
        <w:rPr>
          <w:b/>
          <w:bCs/>
          <w:color w:val="000000"/>
          <w:sz w:val="20"/>
          <w:szCs w:val="20"/>
        </w:rPr>
        <w:t>Board</w:t>
      </w:r>
      <w:r>
        <w:rPr>
          <w:color w:val="000000"/>
          <w:sz w:val="20"/>
          <w:szCs w:val="20"/>
        </w:rPr>
        <w:t>”) of Zhong Yang Financial Group Limited (the “</w:t>
      </w:r>
      <w:r>
        <w:rPr>
          <w:b/>
          <w:bCs/>
          <w:color w:val="000000"/>
          <w:sz w:val="20"/>
          <w:szCs w:val="20"/>
        </w:rPr>
        <w:t>Company</w:t>
      </w:r>
      <w:r>
        <w:rPr>
          <w:color w:val="000000"/>
          <w:sz w:val="20"/>
          <w:szCs w:val="20"/>
        </w:rPr>
        <w:t>”) has adopted this Code of Ethics and Business Conduct (the “</w:t>
      </w:r>
      <w:r>
        <w:rPr>
          <w:b/>
          <w:bCs/>
          <w:color w:val="000000"/>
          <w:sz w:val="20"/>
          <w:szCs w:val="20"/>
        </w:rPr>
        <w:t>Code</w:t>
      </w:r>
      <w:r>
        <w:rPr>
          <w:color w:val="000000"/>
          <w:sz w:val="20"/>
          <w:szCs w:val="20"/>
        </w:rPr>
        <w:t>”) in order to:</w:t>
      </w:r>
    </w:p>
    <w:p w14:paraId="4EEDFEF9"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1B5B747F"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xml:space="preserve">(a) promote honest and ethical conduct, including the ethical handling of actual or apparent conflicts of </w:t>
      </w:r>
      <w:proofErr w:type="gramStart"/>
      <w:r>
        <w:rPr>
          <w:color w:val="000000"/>
          <w:sz w:val="20"/>
          <w:szCs w:val="20"/>
        </w:rPr>
        <w:t>interest;</w:t>
      </w:r>
      <w:proofErr w:type="gramEnd"/>
    </w:p>
    <w:p w14:paraId="1E90DE0B"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36A2FE6C"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(b) promote full, fair, accurate, timely and understandable disclosure in reports and documents that the Company files with, or submits to, the Securities and Exchange Commission (the “</w:t>
      </w:r>
      <w:r>
        <w:rPr>
          <w:b/>
          <w:bCs/>
          <w:color w:val="000000"/>
          <w:sz w:val="20"/>
          <w:szCs w:val="20"/>
        </w:rPr>
        <w:t>SEC</w:t>
      </w:r>
      <w:r>
        <w:rPr>
          <w:color w:val="000000"/>
          <w:sz w:val="20"/>
          <w:szCs w:val="20"/>
        </w:rPr>
        <w:t xml:space="preserve">”) and in other public communications made by the </w:t>
      </w:r>
      <w:proofErr w:type="gramStart"/>
      <w:r>
        <w:rPr>
          <w:color w:val="000000"/>
          <w:sz w:val="20"/>
          <w:szCs w:val="20"/>
        </w:rPr>
        <w:t>Company;</w:t>
      </w:r>
      <w:proofErr w:type="gramEnd"/>
    </w:p>
    <w:p w14:paraId="26075871"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02D8AD6A"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xml:space="preserve">(c) promote compliance with applicable governmental laws, rules and </w:t>
      </w:r>
      <w:proofErr w:type="gramStart"/>
      <w:r>
        <w:rPr>
          <w:color w:val="000000"/>
          <w:sz w:val="20"/>
          <w:szCs w:val="20"/>
        </w:rPr>
        <w:t>regulations;</w:t>
      </w:r>
      <w:proofErr w:type="gramEnd"/>
    </w:p>
    <w:p w14:paraId="4D815E20"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7704C851"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xml:space="preserve">(d) promote the protection of Company assets, including corporate opportunities and confidential </w:t>
      </w:r>
      <w:proofErr w:type="gramStart"/>
      <w:r>
        <w:rPr>
          <w:color w:val="000000"/>
          <w:sz w:val="20"/>
          <w:szCs w:val="20"/>
        </w:rPr>
        <w:t>information;</w:t>
      </w:r>
      <w:proofErr w:type="gramEnd"/>
    </w:p>
    <w:p w14:paraId="0D85C257"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5F7D4145"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xml:space="preserve">(e) promote fair dealing </w:t>
      </w:r>
      <w:proofErr w:type="gramStart"/>
      <w:r>
        <w:rPr>
          <w:color w:val="000000"/>
          <w:sz w:val="20"/>
          <w:szCs w:val="20"/>
        </w:rPr>
        <w:t>practices;</w:t>
      </w:r>
      <w:proofErr w:type="gramEnd"/>
    </w:p>
    <w:p w14:paraId="633DE0B6"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57E28E7E"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(f) deter wrongdoing; and</w:t>
      </w:r>
    </w:p>
    <w:p w14:paraId="29815297"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614A2406"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(g) ensure accountability for adherence to the Code.</w:t>
      </w:r>
    </w:p>
    <w:p w14:paraId="7454EAB8"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78BD8E4D"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1.2 All directors, officers and employees are required to be familiar with the Code, comply with its provisions and report any suspected violations as described below in Section 10, Reporting and Enforcement.</w:t>
      </w:r>
    </w:p>
    <w:p w14:paraId="1B090AC0"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44EE1515"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2. </w:t>
      </w:r>
      <w:r>
        <w:rPr>
          <w:color w:val="000000"/>
          <w:sz w:val="20"/>
          <w:szCs w:val="20"/>
          <w:u w:val="single"/>
          <w:shd w:val="clear" w:color="auto" w:fill="FFFFFF"/>
        </w:rPr>
        <w:t>Honest and Ethical Conduct</w:t>
      </w:r>
      <w:r>
        <w:rPr>
          <w:color w:val="000000"/>
          <w:sz w:val="20"/>
          <w:szCs w:val="20"/>
        </w:rPr>
        <w:t>.</w:t>
      </w:r>
    </w:p>
    <w:p w14:paraId="7CAB9C58"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5E99D461"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2.1 The Company’s policy is to promote high standards of integrity by conducting its affairs honestly and ethically.</w:t>
      </w:r>
    </w:p>
    <w:p w14:paraId="4E75632E"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5E7AC2D7" w14:textId="649A8F2F"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2.2 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r>
        <w:rPr>
          <w:color w:val="000000"/>
          <w:sz w:val="20"/>
          <w:szCs w:val="20"/>
        </w:rPr>
        <w:t>.</w:t>
      </w:r>
    </w:p>
    <w:p w14:paraId="26919264"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39A9C977"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3. </w:t>
      </w:r>
      <w:r>
        <w:rPr>
          <w:color w:val="000000"/>
          <w:sz w:val="20"/>
          <w:szCs w:val="20"/>
          <w:u w:val="single"/>
          <w:shd w:val="clear" w:color="auto" w:fill="FFFFFF"/>
        </w:rPr>
        <w:t>Conflicts of Interest</w:t>
      </w:r>
      <w:r>
        <w:rPr>
          <w:color w:val="000000"/>
          <w:sz w:val="20"/>
          <w:szCs w:val="20"/>
        </w:rPr>
        <w:t>.</w:t>
      </w:r>
    </w:p>
    <w:p w14:paraId="41A2AA7B"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1872F8C4"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3.1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14:paraId="0DBE4701"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57B6B5FF"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3.2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14:paraId="1770E02A"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60546DA5"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lastRenderedPageBreak/>
        <w:t>3.3 Whether or not a conflict of interest exists or will exist can be unclear. Conflicts of interest should be avoided unless specifically authorized as described in Section 3.4.</w:t>
      </w:r>
    </w:p>
    <w:p w14:paraId="21FF2A3C"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55040AB9"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xml:space="preserve">3.4 Persons other than directors and executive officers who have questions about a potential conflict of interest or who become aware of an actual or potential conflict should discuss the matter </w:t>
      </w:r>
      <w:proofErr w:type="gramStart"/>
      <w:r>
        <w:rPr>
          <w:color w:val="000000"/>
          <w:sz w:val="20"/>
          <w:szCs w:val="20"/>
        </w:rPr>
        <w:t>with, and</w:t>
      </w:r>
      <w:proofErr w:type="gramEnd"/>
      <w:r>
        <w:rPr>
          <w:color w:val="000000"/>
          <w:sz w:val="20"/>
          <w:szCs w:val="20"/>
        </w:rPr>
        <w:t xml:space="preserve"> seek a determination and prior authorization or approval from, their supervisor or the Chief Financial Officer. A supervisor may not authorize or approve conflict of interest matters or make determinations as to whether a problematic conflict of interest exists without first providing the Chief Financial Officer with a written description of the activity and seeking the Chief Financial Officer’s written approval. If the supervisor is himself involved in the potential or actual conflict, the matter should instead be discussed directly with the Chief Financial Officer.</w:t>
      </w:r>
    </w:p>
    <w:p w14:paraId="171C4DA0"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33DAB49D" w14:textId="77777777" w:rsidR="00AF1D32" w:rsidRDefault="00AF1D32" w:rsidP="00AF1D32">
      <w:pPr>
        <w:pStyle w:val="NormalWeb"/>
        <w:spacing w:before="0" w:beforeAutospacing="0" w:after="0" w:afterAutospacing="0"/>
        <w:ind w:left="432" w:firstLine="1296"/>
        <w:jc w:val="both"/>
        <w:rPr>
          <w:color w:val="000000"/>
        </w:rPr>
      </w:pPr>
      <w:r>
        <w:rPr>
          <w:color w:val="000000"/>
          <w:sz w:val="20"/>
          <w:szCs w:val="20"/>
        </w:rPr>
        <w:t>Directors and executive officers must seek determinations and prior authorizations or approvals of potential conflicts of interest exclusively from the Audit Committee.</w:t>
      </w:r>
    </w:p>
    <w:p w14:paraId="684FBB6E" w14:textId="77777777" w:rsidR="00AF1D32" w:rsidRDefault="00AF1D32" w:rsidP="00AF1D32">
      <w:pPr>
        <w:pStyle w:val="NormalWeb"/>
        <w:spacing w:before="0" w:beforeAutospacing="0" w:after="0" w:afterAutospacing="0"/>
        <w:ind w:left="432" w:firstLine="1296"/>
        <w:jc w:val="both"/>
        <w:rPr>
          <w:color w:val="000000"/>
        </w:rPr>
      </w:pPr>
      <w:r>
        <w:rPr>
          <w:color w:val="000000"/>
          <w:sz w:val="20"/>
          <w:szCs w:val="20"/>
        </w:rPr>
        <w:t> </w:t>
      </w:r>
    </w:p>
    <w:p w14:paraId="55D66757"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4. </w:t>
      </w:r>
      <w:r>
        <w:rPr>
          <w:color w:val="000000"/>
          <w:sz w:val="20"/>
          <w:szCs w:val="20"/>
          <w:u w:val="single"/>
          <w:shd w:val="clear" w:color="auto" w:fill="FFFFFF"/>
        </w:rPr>
        <w:t>Compliance</w:t>
      </w:r>
      <w:r>
        <w:rPr>
          <w:color w:val="000000"/>
          <w:sz w:val="20"/>
          <w:szCs w:val="20"/>
        </w:rPr>
        <w:t>.</w:t>
      </w:r>
    </w:p>
    <w:p w14:paraId="1D476287"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569B9A6D"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4.1 Employees, officers and directors should comply, both in letter and spirit, with all applicable laws, rules and regulations in the cities, states and countries in which the Company operates.</w:t>
      </w:r>
    </w:p>
    <w:p w14:paraId="2A802915"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6A797AC5" w14:textId="63C6572F" w:rsidR="00AF1D32" w:rsidRDefault="00AF1D32" w:rsidP="00AD0835">
      <w:pPr>
        <w:pStyle w:val="NormalWeb"/>
        <w:spacing w:before="0" w:beforeAutospacing="0" w:after="0" w:afterAutospacing="0"/>
        <w:ind w:left="432" w:firstLine="576"/>
        <w:jc w:val="both"/>
        <w:rPr>
          <w:color w:val="000000"/>
          <w:sz w:val="20"/>
          <w:szCs w:val="20"/>
        </w:rPr>
      </w:pPr>
      <w:r>
        <w:rPr>
          <w:color w:val="000000"/>
          <w:sz w:val="20"/>
          <w:szCs w:val="20"/>
        </w:rPr>
        <w:t>4.2 Although not all employees, officers and directors are expected to know the details of all applicable laws, rules and regulations, it is important to know enough to determine when to seek advice from appropriate personnel. Questions about compliance should be addressed to the Legal Department. </w:t>
      </w:r>
    </w:p>
    <w:p w14:paraId="5167D226"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16F5DBF1"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4.3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regarding the Company or any other company to:</w:t>
      </w:r>
    </w:p>
    <w:p w14:paraId="710361BF"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29C9DB3E"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(a) obtain profit for himself or herself; or</w:t>
      </w:r>
    </w:p>
    <w:p w14:paraId="3FECA0EE"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73E6A845"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(b) directly or indirectly “tip” others who might make an investment decision on the basis of that information.</w:t>
      </w:r>
    </w:p>
    <w:p w14:paraId="72D248CA"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083F529D"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5. </w:t>
      </w:r>
      <w:r>
        <w:rPr>
          <w:color w:val="000000"/>
          <w:sz w:val="20"/>
          <w:szCs w:val="20"/>
          <w:u w:val="single"/>
          <w:shd w:val="clear" w:color="auto" w:fill="FFFFFF"/>
        </w:rPr>
        <w:t>Disclosure</w:t>
      </w:r>
      <w:r>
        <w:rPr>
          <w:color w:val="000000"/>
          <w:sz w:val="20"/>
          <w:szCs w:val="20"/>
        </w:rPr>
        <w:t>.</w:t>
      </w:r>
    </w:p>
    <w:p w14:paraId="005113CD"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41714CE1"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5.1 The Company’s periodic reports and other documents filed with the SEC, including all financial statements and other financial information, must comply with applicable federal securities laws and SEC rules.</w:t>
      </w:r>
    </w:p>
    <w:p w14:paraId="329F306D"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2011A1E9"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5.2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14:paraId="5F7D3917"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62041234"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5.3 Each director, officer and employee who is involved in the Company’s disclosure process must:</w:t>
      </w:r>
    </w:p>
    <w:p w14:paraId="513B2F7A"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66994C4F"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(a) be familiar with and comply with the Company’s disclosure controls and procedures and its internal control over financial reporting; and</w:t>
      </w:r>
    </w:p>
    <w:p w14:paraId="22116F9B"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11F35F49"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(b) take all necessary steps to ensure that all filings with the SEC and all other public communications about the financial and business condition of the Company provide full, fair, accurate, timely and understandable disclosure.</w:t>
      </w:r>
    </w:p>
    <w:p w14:paraId="409B1C0E"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19902931"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6. </w:t>
      </w:r>
      <w:r>
        <w:rPr>
          <w:color w:val="000000"/>
          <w:sz w:val="20"/>
          <w:szCs w:val="20"/>
          <w:u w:val="single"/>
          <w:shd w:val="clear" w:color="auto" w:fill="FFFFFF"/>
        </w:rPr>
        <w:t>Protection and Proper Use of Company Assets</w:t>
      </w:r>
      <w:r>
        <w:rPr>
          <w:color w:val="000000"/>
          <w:sz w:val="20"/>
          <w:szCs w:val="20"/>
        </w:rPr>
        <w:t>.</w:t>
      </w:r>
    </w:p>
    <w:p w14:paraId="4A890A0D" w14:textId="77777777" w:rsidR="00AF1D32" w:rsidRDefault="00AF1D32" w:rsidP="00AF1D32">
      <w:pPr>
        <w:pStyle w:val="NormalWeb"/>
        <w:spacing w:before="0" w:beforeAutospacing="0" w:after="0" w:afterAutospacing="0"/>
        <w:ind w:firstLine="431"/>
        <w:rPr>
          <w:color w:val="000000"/>
        </w:rPr>
      </w:pPr>
      <w:r>
        <w:rPr>
          <w:color w:val="000000"/>
          <w:sz w:val="20"/>
          <w:szCs w:val="20"/>
        </w:rPr>
        <w:lastRenderedPageBreak/>
        <w:t> </w:t>
      </w:r>
    </w:p>
    <w:p w14:paraId="065378FB"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6.1 All directors, officers and employees should protect the Company’s assets and ensure their efficient use. Theft, carelessness and waste have a direct impact on the Company’s profitability and are prohibited.</w:t>
      </w:r>
    </w:p>
    <w:p w14:paraId="4B54EA02"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13A22ABE"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6.2 All Company assets should be used only for legitimate business purposes. Any suspected incident of fraud or theft should be reported for investigation immediately.</w:t>
      </w:r>
    </w:p>
    <w:p w14:paraId="4F4E7099"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37699388" w14:textId="2EABB311" w:rsidR="00AF1D32" w:rsidRDefault="00AF1D32" w:rsidP="00AD0835">
      <w:pPr>
        <w:pStyle w:val="NormalWeb"/>
        <w:spacing w:before="0" w:beforeAutospacing="0" w:after="0" w:afterAutospacing="0"/>
        <w:ind w:left="432" w:firstLine="576"/>
        <w:jc w:val="both"/>
        <w:rPr>
          <w:color w:val="000000"/>
          <w:sz w:val="20"/>
          <w:szCs w:val="20"/>
        </w:rPr>
      </w:pPr>
      <w:r>
        <w:rPr>
          <w:color w:val="000000"/>
          <w:sz w:val="20"/>
          <w:szCs w:val="20"/>
        </w:rPr>
        <w:t>6.3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 </w:t>
      </w:r>
    </w:p>
    <w:p w14:paraId="684DA9E3"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067B4F5F" w14:textId="77777777" w:rsidR="00AF1D32" w:rsidRDefault="00AF1D32" w:rsidP="00AF1D32">
      <w:pPr>
        <w:pStyle w:val="NormalWeb"/>
        <w:spacing w:before="0" w:beforeAutospacing="0" w:after="0" w:afterAutospacing="0"/>
        <w:ind w:firstLine="431"/>
        <w:jc w:val="both"/>
        <w:rPr>
          <w:color w:val="000000"/>
          <w:sz w:val="20"/>
          <w:szCs w:val="20"/>
        </w:rPr>
      </w:pPr>
      <w:r>
        <w:rPr>
          <w:color w:val="000000"/>
          <w:sz w:val="20"/>
          <w:szCs w:val="20"/>
        </w:rPr>
        <w:t>7. </w:t>
      </w:r>
      <w:r>
        <w:rPr>
          <w:color w:val="000000"/>
          <w:sz w:val="20"/>
          <w:szCs w:val="20"/>
          <w:u w:val="single"/>
          <w:shd w:val="clear" w:color="auto" w:fill="FFFFFF"/>
        </w:rPr>
        <w:t>Corporate Opportunities</w:t>
      </w:r>
      <w:r>
        <w:rPr>
          <w:color w:val="000000"/>
          <w:sz w:val="20"/>
          <w:szCs w:val="20"/>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14:paraId="43A0A430" w14:textId="77777777" w:rsidR="00AF1D32" w:rsidRDefault="00AF1D32" w:rsidP="00AF1D32">
      <w:pPr>
        <w:pStyle w:val="NormalWeb"/>
        <w:spacing w:before="0" w:beforeAutospacing="0" w:after="0" w:afterAutospacing="0"/>
        <w:ind w:firstLine="431"/>
        <w:jc w:val="both"/>
        <w:rPr>
          <w:color w:val="000000"/>
        </w:rPr>
      </w:pPr>
      <w:r>
        <w:rPr>
          <w:color w:val="000000"/>
          <w:sz w:val="20"/>
          <w:szCs w:val="20"/>
        </w:rPr>
        <w:t> </w:t>
      </w:r>
    </w:p>
    <w:p w14:paraId="04C79384" w14:textId="77777777" w:rsidR="00AF1D32" w:rsidRDefault="00AF1D32" w:rsidP="00AF1D32">
      <w:pPr>
        <w:pStyle w:val="NormalWeb"/>
        <w:spacing w:before="0" w:beforeAutospacing="0" w:after="0" w:afterAutospacing="0"/>
        <w:ind w:firstLine="431"/>
        <w:jc w:val="both"/>
        <w:rPr>
          <w:color w:val="000000"/>
          <w:sz w:val="20"/>
          <w:szCs w:val="20"/>
        </w:rPr>
      </w:pPr>
      <w:r>
        <w:rPr>
          <w:color w:val="000000"/>
          <w:sz w:val="20"/>
          <w:szCs w:val="20"/>
        </w:rPr>
        <w:t>8. </w:t>
      </w:r>
      <w:r>
        <w:rPr>
          <w:color w:val="000000"/>
          <w:sz w:val="20"/>
          <w:szCs w:val="20"/>
          <w:u w:val="single"/>
          <w:shd w:val="clear" w:color="auto" w:fill="FFFFFF"/>
        </w:rPr>
        <w:t>Confidentiality</w:t>
      </w:r>
      <w:r>
        <w:rPr>
          <w:color w:val="000000"/>
          <w:sz w:val="20"/>
          <w:szCs w:val="20"/>
        </w:rPr>
        <w:t>. Directors, officers and employees should maintain the confidentiality of information entrusted to them by the Company or by its customers, suppliers or partners, except when disclosure is expressly authorized or is required or permitted by law. Confidential information includes all nonpublic information (regardless of its source) that might be of use to the Company’s competitors or harmful to the Company or its customers, suppliers or partners if disclosed.</w:t>
      </w:r>
    </w:p>
    <w:p w14:paraId="7772ECC4" w14:textId="77777777" w:rsidR="00AF1D32" w:rsidRDefault="00AF1D32" w:rsidP="00AF1D32">
      <w:pPr>
        <w:pStyle w:val="NormalWeb"/>
        <w:spacing w:before="0" w:beforeAutospacing="0" w:after="0" w:afterAutospacing="0"/>
        <w:ind w:firstLine="431"/>
        <w:jc w:val="both"/>
        <w:rPr>
          <w:color w:val="000000"/>
        </w:rPr>
      </w:pPr>
      <w:r>
        <w:rPr>
          <w:color w:val="000000"/>
          <w:sz w:val="20"/>
          <w:szCs w:val="20"/>
        </w:rPr>
        <w:t> </w:t>
      </w:r>
    </w:p>
    <w:p w14:paraId="0EF215CA" w14:textId="77777777" w:rsidR="00AF1D32" w:rsidRDefault="00AF1D32" w:rsidP="00AF1D32">
      <w:pPr>
        <w:pStyle w:val="NormalWeb"/>
        <w:spacing w:before="0" w:beforeAutospacing="0" w:after="0" w:afterAutospacing="0"/>
        <w:ind w:firstLine="431"/>
        <w:jc w:val="both"/>
        <w:rPr>
          <w:color w:val="000000"/>
          <w:sz w:val="20"/>
          <w:szCs w:val="20"/>
        </w:rPr>
      </w:pPr>
      <w:r>
        <w:rPr>
          <w:color w:val="000000"/>
          <w:sz w:val="20"/>
          <w:szCs w:val="20"/>
        </w:rPr>
        <w:t>9. </w:t>
      </w:r>
      <w:r>
        <w:rPr>
          <w:color w:val="000000"/>
          <w:sz w:val="20"/>
          <w:szCs w:val="20"/>
          <w:u w:val="single"/>
          <w:shd w:val="clear" w:color="auto" w:fill="FFFFFF"/>
        </w:rPr>
        <w:t>Fair Dealing</w:t>
      </w:r>
      <w:r>
        <w:rPr>
          <w:color w:val="000000"/>
          <w:sz w:val="20"/>
          <w:szCs w:val="20"/>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14:paraId="783AA026" w14:textId="77777777" w:rsidR="00AF1D32" w:rsidRDefault="00AF1D32" w:rsidP="00AF1D32">
      <w:pPr>
        <w:pStyle w:val="NormalWeb"/>
        <w:spacing w:before="0" w:beforeAutospacing="0" w:after="0" w:afterAutospacing="0"/>
        <w:ind w:firstLine="431"/>
        <w:jc w:val="both"/>
        <w:rPr>
          <w:color w:val="000000"/>
        </w:rPr>
      </w:pPr>
      <w:r>
        <w:rPr>
          <w:color w:val="000000"/>
          <w:sz w:val="20"/>
          <w:szCs w:val="20"/>
        </w:rPr>
        <w:t> </w:t>
      </w:r>
    </w:p>
    <w:p w14:paraId="7C1ED3BA" w14:textId="77777777" w:rsidR="00AF1D32" w:rsidRDefault="00AF1D32" w:rsidP="00AF1D32">
      <w:pPr>
        <w:pStyle w:val="NormalWeb"/>
        <w:spacing w:before="0" w:beforeAutospacing="0" w:after="0" w:afterAutospacing="0"/>
        <w:ind w:firstLine="431"/>
        <w:rPr>
          <w:color w:val="000000"/>
          <w:sz w:val="20"/>
          <w:szCs w:val="20"/>
        </w:rPr>
      </w:pPr>
      <w:r>
        <w:rPr>
          <w:color w:val="000000"/>
          <w:sz w:val="20"/>
          <w:szCs w:val="20"/>
        </w:rPr>
        <w:t>10. </w:t>
      </w:r>
      <w:r>
        <w:rPr>
          <w:color w:val="000000"/>
          <w:sz w:val="20"/>
          <w:szCs w:val="20"/>
          <w:u w:val="single"/>
          <w:shd w:val="clear" w:color="auto" w:fill="FFFFFF"/>
        </w:rPr>
        <w:t>Reporting and Enforcement</w:t>
      </w:r>
      <w:r>
        <w:rPr>
          <w:color w:val="000000"/>
          <w:sz w:val="20"/>
          <w:szCs w:val="20"/>
        </w:rPr>
        <w:t>.</w:t>
      </w:r>
    </w:p>
    <w:p w14:paraId="45AD8593" w14:textId="77777777" w:rsidR="00AF1D32" w:rsidRDefault="00AF1D32" w:rsidP="00AF1D32">
      <w:pPr>
        <w:pStyle w:val="NormalWeb"/>
        <w:spacing w:before="0" w:beforeAutospacing="0" w:after="0" w:afterAutospacing="0"/>
        <w:ind w:firstLine="431"/>
        <w:rPr>
          <w:color w:val="000000"/>
        </w:rPr>
      </w:pPr>
      <w:r>
        <w:rPr>
          <w:color w:val="000000"/>
          <w:sz w:val="20"/>
          <w:szCs w:val="20"/>
        </w:rPr>
        <w:t> </w:t>
      </w:r>
    </w:p>
    <w:p w14:paraId="2CEA2DBF"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10.1 Reporting and Investigation of Violations.</w:t>
      </w:r>
    </w:p>
    <w:p w14:paraId="2EE9CDF5"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 </w:t>
      </w:r>
    </w:p>
    <w:p w14:paraId="5A8EF41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(a) Actions prohibited by this Code involving directors or executive officers must be reported to the Audit Committee.</w:t>
      </w:r>
    </w:p>
    <w:p w14:paraId="3937DAA5"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43FAE71B" w14:textId="743F6F37" w:rsidR="00AF1D32" w:rsidRDefault="00AF1D32" w:rsidP="00AD0835">
      <w:pPr>
        <w:pStyle w:val="NormalWeb"/>
        <w:spacing w:before="0" w:beforeAutospacing="0" w:after="0" w:afterAutospacing="0"/>
        <w:ind w:left="1008" w:firstLine="720"/>
        <w:jc w:val="both"/>
        <w:rPr>
          <w:color w:val="000000"/>
          <w:sz w:val="20"/>
          <w:szCs w:val="20"/>
        </w:rPr>
      </w:pPr>
      <w:r>
        <w:rPr>
          <w:color w:val="000000"/>
          <w:sz w:val="20"/>
          <w:szCs w:val="20"/>
        </w:rPr>
        <w:t>(b) Actions prohibited by this Code involving anyone other than a director or executive officer must be reported to the reporting person’s supervisor or the Chief Financial Officer. </w:t>
      </w:r>
    </w:p>
    <w:p w14:paraId="0B80D18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67F3CBE3"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(c) After receiving a report of an alleged prohibited action, the Audit Committee, the relevant supervisor or the Chief Financial Officer must promptly take all appropriate actions necessary to investigate.</w:t>
      </w:r>
    </w:p>
    <w:p w14:paraId="0EE1B01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032E0A8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(d) All directors, officers and employees are expected to cooperate in any internal investigation of misconduct.</w:t>
      </w:r>
    </w:p>
    <w:p w14:paraId="185777A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6E96E105"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10.2 Enforcement.</w:t>
      </w:r>
    </w:p>
    <w:p w14:paraId="2D435E00" w14:textId="77777777" w:rsidR="00AF1D32" w:rsidRDefault="00AF1D32" w:rsidP="00AF1D32">
      <w:pPr>
        <w:pStyle w:val="NormalWeb"/>
        <w:spacing w:before="0" w:beforeAutospacing="0" w:after="0" w:afterAutospacing="0"/>
        <w:ind w:left="432" w:firstLine="576"/>
        <w:jc w:val="both"/>
        <w:rPr>
          <w:color w:val="000000"/>
          <w:sz w:val="20"/>
          <w:szCs w:val="20"/>
        </w:rPr>
      </w:pPr>
      <w:r>
        <w:rPr>
          <w:color w:val="000000"/>
          <w:sz w:val="20"/>
          <w:szCs w:val="20"/>
        </w:rPr>
        <w:t> </w:t>
      </w:r>
    </w:p>
    <w:p w14:paraId="0C79F01C"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(a) The Company must ensure prompt and consistent action against violations of this Code.</w:t>
      </w:r>
    </w:p>
    <w:p w14:paraId="3CFD07F0"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52264AA4"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(b) If, after investigating a report of an alleged prohibited action by a director or executive officer, the Audit Committee determines that a violation of this Code has occurred, the Audit Committee will report such determination to the Board.</w:t>
      </w:r>
    </w:p>
    <w:p w14:paraId="220A6838"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044D02B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lastRenderedPageBreak/>
        <w:t>(c) If, after investigating a report of an alleged prohibited action by any other person, the relevant supervisor or the Chief Financial Officer determines that a violation of this Code has occurred, the supervisor or the Chief Financial Officer will report such determination to the Board.</w:t>
      </w:r>
    </w:p>
    <w:p w14:paraId="196ED0B3"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4B4913CE"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(d) Upon receipt of a determination that there has been a violation of this Code, the Board will take such preventative or disciplinary action as it deems appropriate, including, but not limited to, reassignment, demotion, dismissal and, in the event of criminal conduct or other serious violations of the law, notification of appropriate governmental authorities.</w:t>
      </w:r>
    </w:p>
    <w:p w14:paraId="4D89A931"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352C9119"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10.3 Waivers.</w:t>
      </w:r>
    </w:p>
    <w:p w14:paraId="09C72CD3"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 </w:t>
      </w:r>
    </w:p>
    <w:p w14:paraId="390F4BBB"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(a) The Board may, in its discretion, waive any violation of this Code.</w:t>
      </w:r>
    </w:p>
    <w:p w14:paraId="1AD91DCD"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16590549"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(b) Any waiver for a director or an executive officer shall be disclosed as required by SEC and Nasdaq rules.</w:t>
      </w:r>
    </w:p>
    <w:p w14:paraId="702C83C1" w14:textId="77777777" w:rsidR="00AF1D32" w:rsidRDefault="00AF1D32" w:rsidP="00AF1D32">
      <w:pPr>
        <w:pStyle w:val="NormalWeb"/>
        <w:spacing w:before="0" w:beforeAutospacing="0" w:after="0" w:afterAutospacing="0"/>
        <w:ind w:left="1008" w:firstLine="720"/>
        <w:jc w:val="both"/>
        <w:rPr>
          <w:color w:val="000000"/>
          <w:sz w:val="20"/>
          <w:szCs w:val="20"/>
        </w:rPr>
      </w:pPr>
      <w:r>
        <w:rPr>
          <w:color w:val="000000"/>
          <w:sz w:val="20"/>
          <w:szCs w:val="20"/>
        </w:rPr>
        <w:t> </w:t>
      </w:r>
    </w:p>
    <w:p w14:paraId="76C772D4"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10.4 Prohibition on Retaliation.</w:t>
      </w:r>
    </w:p>
    <w:p w14:paraId="5C8D289F" w14:textId="77777777" w:rsidR="00AF1D32" w:rsidRDefault="00AF1D32" w:rsidP="00AF1D32">
      <w:pPr>
        <w:pStyle w:val="NormalWeb"/>
        <w:spacing w:before="0" w:beforeAutospacing="0" w:after="0" w:afterAutospacing="0"/>
        <w:ind w:left="432" w:firstLine="576"/>
        <w:rPr>
          <w:color w:val="000000"/>
          <w:sz w:val="20"/>
          <w:szCs w:val="20"/>
        </w:rPr>
      </w:pPr>
      <w:r>
        <w:rPr>
          <w:color w:val="000000"/>
          <w:sz w:val="20"/>
          <w:szCs w:val="20"/>
        </w:rPr>
        <w:t> </w:t>
      </w:r>
    </w:p>
    <w:p w14:paraId="2E5C5479" w14:textId="77777777" w:rsidR="00AF1D32" w:rsidRDefault="00AF1D32" w:rsidP="00AF1D32">
      <w:pPr>
        <w:pStyle w:val="NormalWeb"/>
        <w:spacing w:before="0" w:beforeAutospacing="0" w:after="0" w:afterAutospacing="0"/>
        <w:ind w:left="432" w:firstLine="1296"/>
        <w:jc w:val="both"/>
        <w:rPr>
          <w:color w:val="000000"/>
        </w:rPr>
      </w:pPr>
      <w:r>
        <w:rPr>
          <w:color w:val="000000"/>
          <w:sz w:val="20"/>
          <w:szCs w:val="20"/>
        </w:rPr>
        <w:t>The Company does not tolerate acts of retaliation against any director, officer or employee who makes a good faith report of known or suspected acts of misconduct or other violations of this Code.</w:t>
      </w:r>
    </w:p>
    <w:p w14:paraId="43945F65" w14:textId="77777777" w:rsidR="001E248D" w:rsidRDefault="001E248D"/>
    <w:sectPr w:rsidR="001E248D" w:rsidSect="00393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D32"/>
    <w:rsid w:val="001E248D"/>
    <w:rsid w:val="003936E6"/>
    <w:rsid w:val="00AD0835"/>
    <w:rsid w:val="00AF1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162A3805"/>
  <w15:chartTrackingRefBased/>
  <w15:docId w15:val="{DC2218C9-F13A-2041-A831-05E3504C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1D3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6828583">
      <w:bodyDiv w:val="1"/>
      <w:marLeft w:val="0"/>
      <w:marRight w:val="0"/>
      <w:marTop w:val="0"/>
      <w:marBottom w:val="0"/>
      <w:divBdr>
        <w:top w:val="none" w:sz="0" w:space="0" w:color="auto"/>
        <w:left w:val="none" w:sz="0" w:space="0" w:color="auto"/>
        <w:bottom w:val="none" w:sz="0" w:space="0" w:color="auto"/>
        <w:right w:val="none" w:sz="0" w:space="0" w:color="auto"/>
      </w:divBdr>
      <w:divsChild>
        <w:div w:id="1316647898">
          <w:marLeft w:val="0"/>
          <w:marRight w:val="0"/>
          <w:marTop w:val="240"/>
          <w:marBottom w:val="120"/>
          <w:divBdr>
            <w:top w:val="none" w:sz="0" w:space="0" w:color="auto"/>
            <w:left w:val="none" w:sz="0" w:space="0" w:color="auto"/>
            <w:bottom w:val="single" w:sz="12" w:space="0" w:color="000000"/>
            <w:right w:val="none" w:sz="0" w:space="0" w:color="auto"/>
          </w:divBdr>
        </w:div>
        <w:div w:id="770709251">
          <w:marLeft w:val="0"/>
          <w:marRight w:val="0"/>
          <w:marTop w:val="120"/>
          <w:marBottom w:val="240"/>
          <w:divBdr>
            <w:top w:val="none" w:sz="0" w:space="0" w:color="auto"/>
            <w:left w:val="none" w:sz="0" w:space="0" w:color="auto"/>
            <w:bottom w:val="none" w:sz="0" w:space="0" w:color="auto"/>
            <w:right w:val="none" w:sz="0" w:space="0" w:color="auto"/>
          </w:divBdr>
        </w:div>
        <w:div w:id="1628119909">
          <w:marLeft w:val="0"/>
          <w:marRight w:val="0"/>
          <w:marTop w:val="240"/>
          <w:marBottom w:val="120"/>
          <w:divBdr>
            <w:top w:val="none" w:sz="0" w:space="0" w:color="auto"/>
            <w:left w:val="none" w:sz="0" w:space="0" w:color="auto"/>
            <w:bottom w:val="single" w:sz="12" w:space="0" w:color="000000"/>
            <w:right w:val="none" w:sz="0" w:space="0" w:color="auto"/>
          </w:divBdr>
        </w:div>
        <w:div w:id="1988050013">
          <w:marLeft w:val="0"/>
          <w:marRight w:val="0"/>
          <w:marTop w:val="120"/>
          <w:marBottom w:val="240"/>
          <w:divBdr>
            <w:top w:val="none" w:sz="0" w:space="0" w:color="auto"/>
            <w:left w:val="none" w:sz="0" w:space="0" w:color="auto"/>
            <w:bottom w:val="none" w:sz="0" w:space="0" w:color="auto"/>
            <w:right w:val="none" w:sz="0" w:space="0" w:color="auto"/>
          </w:divBdr>
        </w:div>
        <w:div w:id="1362626984">
          <w:marLeft w:val="0"/>
          <w:marRight w:val="0"/>
          <w:marTop w:val="240"/>
          <w:marBottom w:val="120"/>
          <w:divBdr>
            <w:top w:val="none" w:sz="0" w:space="0" w:color="auto"/>
            <w:left w:val="none" w:sz="0" w:space="0" w:color="auto"/>
            <w:bottom w:val="single" w:sz="12" w:space="0" w:color="000000"/>
            <w:right w:val="none" w:sz="0" w:space="0" w:color="auto"/>
          </w:divBdr>
        </w:div>
        <w:div w:id="76368581">
          <w:marLeft w:val="0"/>
          <w:marRight w:val="0"/>
          <w:marTop w:val="120"/>
          <w:marBottom w:val="240"/>
          <w:divBdr>
            <w:top w:val="none" w:sz="0" w:space="0" w:color="auto"/>
            <w:left w:val="none" w:sz="0" w:space="0" w:color="auto"/>
            <w:bottom w:val="none" w:sz="0" w:space="0" w:color="auto"/>
            <w:right w:val="none" w:sz="0" w:space="0" w:color="auto"/>
          </w:divBdr>
        </w:div>
        <w:div w:id="201287993">
          <w:marLeft w:val="0"/>
          <w:marRight w:val="0"/>
          <w:marTop w:val="240"/>
          <w:marBottom w:val="120"/>
          <w:divBdr>
            <w:top w:val="none" w:sz="0" w:space="0" w:color="auto"/>
            <w:left w:val="none" w:sz="0" w:space="0" w:color="auto"/>
            <w:bottom w:val="single" w:sz="12" w:space="0" w:color="000000"/>
            <w:right w:val="none" w:sz="0" w:space="0" w:color="auto"/>
          </w:divBdr>
        </w:div>
        <w:div w:id="1507868179">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1623</Words>
  <Characters>9253</Characters>
  <Application>Microsoft Office Word</Application>
  <DocSecurity>0</DocSecurity>
  <Lines>77</Lines>
  <Paragraphs>21</Paragraphs>
  <ScaleCrop>false</ScaleCrop>
  <Company/>
  <LinksUpToDate>false</LinksUpToDate>
  <CharactersWithSpaces>10855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Hsu</dc:creator>
  <cp:keywords/>
  <dc:description/>
  <cp:lastModifiedBy>Crystal Hsu</cp:lastModifiedBy>
  <cp:revision>2</cp:revision>
  <dcterms:created xsi:type="dcterms:W3CDTF">2022-06-06T15:33:00Z</dcterms:created>
  <dcterms:modified xsi:type="dcterms:W3CDTF">2022-06-06T15:34:00Z</dcterms:modified>
</cp:coreProperties>
</file>